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1B22" w14:textId="77777777" w:rsidR="007319E4" w:rsidRDefault="00000000">
      <w:pPr>
        <w:widowControl w:val="0"/>
        <w:spacing w:after="0"/>
        <w:jc w:val="both"/>
        <w:outlineLvl w:val="2"/>
        <w:rPr>
          <w:rFonts w:ascii="Times New Roman" w:hAnsi="Times New Roman" w:cs="Times New Roman"/>
          <w:b/>
          <w:bCs/>
        </w:rPr>
      </w:pPr>
      <w:r>
        <w:rPr>
          <w:rFonts w:ascii="Times New Roman" w:hAnsi="Times New Roman" w:cs="Times New Roman"/>
          <w:b/>
          <w:bCs/>
          <w:noProof/>
        </w:rPr>
        <w:drawing>
          <wp:anchor distT="0" distB="0" distL="0" distR="0" simplePos="0" relativeHeight="251658240" behindDoc="0" locked="0" layoutInCell="0" allowOverlap="1" wp14:anchorId="60826644" wp14:editId="059A2B47">
            <wp:simplePos x="0" y="0"/>
            <wp:positionH relativeFrom="margin">
              <wp:posOffset>0</wp:posOffset>
            </wp:positionH>
            <wp:positionV relativeFrom="paragraph">
              <wp:posOffset>-591185</wp:posOffset>
            </wp:positionV>
            <wp:extent cx="1857375" cy="581025"/>
            <wp:effectExtent l="0" t="0" r="0" b="0"/>
            <wp:wrapNone/>
            <wp:docPr id="1" name="Рисунок 2" descr="cid:image001.png@01D51F9F.BAFAFE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1.png@01D51F9F.BAFAFE10"/>
                    <pic:cNvPicPr>
                      <a:picLocks noChangeAspect="1" noChangeArrowheads="1"/>
                    </pic:cNvPicPr>
                  </pic:nvPicPr>
                  <pic:blipFill>
                    <a:blip r:embed="rId6"/>
                    <a:stretch>
                      <a:fillRect/>
                    </a:stretch>
                  </pic:blipFill>
                  <pic:spPr bwMode="auto">
                    <a:xfrm>
                      <a:off x="0" y="0"/>
                      <a:ext cx="1857375" cy="581025"/>
                    </a:xfrm>
                    <a:prstGeom prst="rect">
                      <a:avLst/>
                    </a:prstGeom>
                    <a:noFill/>
                  </pic:spPr>
                </pic:pic>
              </a:graphicData>
            </a:graphic>
          </wp:anchor>
        </w:drawing>
      </w:r>
    </w:p>
    <w:p w14:paraId="12EDE0AA" w14:textId="77777777" w:rsidR="007319E4" w:rsidRDefault="007319E4">
      <w:pPr>
        <w:spacing w:after="0"/>
        <w:jc w:val="center"/>
        <w:rPr>
          <w:rFonts w:ascii="Times New Roman" w:hAnsi="Times New Roman" w:cs="Times New Roman"/>
          <w:b/>
          <w:color w:val="0070C0"/>
          <w:sz w:val="26"/>
          <w:szCs w:val="26"/>
        </w:rPr>
      </w:pPr>
    </w:p>
    <w:p w14:paraId="4AD09028" w14:textId="77777777" w:rsidR="007319E4" w:rsidRPr="001F1D85"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EXPLANATORY NOTE AND DRAFT DECISION </w:t>
      </w:r>
    </w:p>
    <w:p w14:paraId="3E37236D" w14:textId="77777777" w:rsidR="007319E4" w:rsidRPr="001F1D85"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THE GENERAL SHAREHOLDERS MEETING </w:t>
      </w:r>
    </w:p>
    <w:p w14:paraId="6456DEB8" w14:textId="7F14664C" w:rsidR="007319E4" w:rsidRPr="001F1D85" w:rsidRDefault="00000000">
      <w:pPr>
        <w:spacing w:after="0"/>
        <w:jc w:val="center"/>
        <w:rPr>
          <w:rFonts w:ascii="Times New Roman" w:hAnsi="Times New Roman" w:cs="Times New Roman"/>
          <w:b/>
          <w:color w:val="0070C0"/>
          <w:sz w:val="26"/>
          <w:szCs w:val="26"/>
          <w:lang w:val="en-US"/>
        </w:rPr>
      </w:pPr>
      <w:r>
        <w:rPr>
          <w:rFonts w:ascii="Times New Roman" w:eastAsia="Times New Roman" w:hAnsi="Times New Roman" w:cs="Times New Roman"/>
          <w:b/>
          <w:color w:val="0070C0"/>
          <w:sz w:val="26"/>
          <w:szCs w:val="26"/>
          <w:lang w:val="en"/>
        </w:rPr>
        <w:t xml:space="preserve">OF </w:t>
      </w:r>
      <w:r w:rsidR="001F1D85">
        <w:rPr>
          <w:rFonts w:ascii="Times New Roman" w:eastAsia="Times New Roman" w:hAnsi="Times New Roman" w:cs="Times New Roman"/>
          <w:b/>
          <w:color w:val="0070C0"/>
          <w:sz w:val="26"/>
          <w:szCs w:val="26"/>
          <w:lang w:val="en"/>
        </w:rPr>
        <w:t>ROSSETI SOUTH, PJSC</w:t>
      </w:r>
    </w:p>
    <w:p w14:paraId="73AB15AD" w14:textId="77777777" w:rsidR="007319E4" w:rsidRPr="001F1D85" w:rsidRDefault="007319E4">
      <w:pPr>
        <w:spacing w:after="0"/>
        <w:jc w:val="both"/>
        <w:rPr>
          <w:rFonts w:ascii="Times New Roman" w:hAnsi="Times New Roman" w:cs="Times New Roman"/>
          <w:b/>
          <w:sz w:val="26"/>
          <w:szCs w:val="26"/>
          <w:lang w:val="en-US"/>
        </w:rPr>
      </w:pPr>
    </w:p>
    <w:p w14:paraId="056B9014" w14:textId="03B5772C" w:rsidR="007319E4" w:rsidRPr="001F1D85" w:rsidRDefault="00000000">
      <w:pPr>
        <w:spacing w:after="0" w:line="240" w:lineRule="auto"/>
        <w:ind w:firstLine="567"/>
        <w:jc w:val="both"/>
        <w:rPr>
          <w:rFonts w:ascii="Times New Roman" w:eastAsia="Times New Roman" w:hAnsi="Times New Roman" w:cs="Times New Roman"/>
          <w:b/>
          <w:color w:val="000000"/>
          <w:sz w:val="26"/>
          <w:szCs w:val="26"/>
          <w:lang w:val="en-US" w:eastAsia="ru-RU"/>
        </w:rPr>
      </w:pPr>
      <w:r>
        <w:rPr>
          <w:rFonts w:ascii="Times New Roman" w:eastAsia="Times New Roman" w:hAnsi="Times New Roman" w:cs="Times New Roman"/>
          <w:b/>
          <w:color w:val="000000"/>
          <w:sz w:val="26"/>
          <w:szCs w:val="26"/>
          <w:u w:val="single"/>
          <w:lang w:val="en" w:eastAsia="ru-RU"/>
        </w:rPr>
        <w:t>ITEM 4:</w:t>
      </w:r>
      <w:r>
        <w:rPr>
          <w:rFonts w:ascii="Times New Roman" w:eastAsia="Times New Roman" w:hAnsi="Times New Roman" w:cs="Times New Roman"/>
          <w:b/>
          <w:color w:val="000000"/>
          <w:sz w:val="26"/>
          <w:szCs w:val="26"/>
          <w:lang w:val="en" w:eastAsia="ru-RU"/>
        </w:rPr>
        <w:t xml:space="preserve"> Concerning the increase of authorized capital of </w:t>
      </w:r>
      <w:r w:rsidR="001F1D85">
        <w:rPr>
          <w:rFonts w:ascii="Times New Roman" w:eastAsia="Times New Roman" w:hAnsi="Times New Roman" w:cs="Times New Roman"/>
          <w:b/>
          <w:color w:val="000000"/>
          <w:sz w:val="26"/>
          <w:szCs w:val="26"/>
          <w:lang w:val="en" w:eastAsia="ru-RU"/>
        </w:rPr>
        <w:t>ROSSETI SOUTH, PJSC</w:t>
      </w:r>
      <w:r>
        <w:rPr>
          <w:rFonts w:ascii="Times New Roman" w:eastAsia="Times New Roman" w:hAnsi="Times New Roman" w:cs="Times New Roman"/>
          <w:b/>
          <w:color w:val="000000"/>
          <w:sz w:val="26"/>
          <w:szCs w:val="26"/>
          <w:lang w:val="en" w:eastAsia="ru-RU"/>
        </w:rPr>
        <w:t xml:space="preserve"> by the placement of additional shares.</w:t>
      </w:r>
    </w:p>
    <w:p w14:paraId="0A82F70E" w14:textId="479C2FCA"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48 of the Federal Law dated 26.12.1995 No. 208-FZ "On Joint-Stock Companies" (hereinafter </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JSC Law</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 xml:space="preserve">) and sub-clause 2 of clause 10.2 of the article 10 of the Charter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(hereinafter </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the Company</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 xml:space="preserve">) the matter of the Company reorganization pertains to the competence of the General shareholders meeting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t>
      </w:r>
    </w:p>
    <w:p w14:paraId="5D4C98DE" w14:textId="16EB25A2"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chapter 42, clause 42.1 of Regulation of the Bank of Russia dated 19.12.2019 No. 706-P "On standards of the issue of securities" (hereinafter </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Issue Standards</w:t>
      </w:r>
      <w:r w:rsidR="009E0AA1" w:rsidRPr="009E0AA1">
        <w:rPr>
          <w:rFonts w:ascii="Times New Roman" w:hAnsi="Times New Roman" w:cs="Times New Roman"/>
          <w:sz w:val="26"/>
          <w:szCs w:val="26"/>
          <w:lang w:val="en-US"/>
        </w:rPr>
        <w:t>"</w:t>
      </w:r>
      <w:r>
        <w:rPr>
          <w:rFonts w:ascii="Times New Roman" w:hAnsi="Times New Roman" w:cs="Times New Roman"/>
          <w:sz w:val="26"/>
          <w:szCs w:val="26"/>
          <w:lang w:val="en"/>
        </w:rPr>
        <w:t xml:space="preserve">), in case of reorganization through merger, the additional shares of the absorbing joint-stock company shall be placed upon the decision on reorganization through merger and the decision on the increase of authorized capital of the absorbing Company by the placement of additional shares. </w:t>
      </w:r>
    </w:p>
    <w:p w14:paraId="5E91731C" w14:textId="77777777"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chapter 47, clauses 47.1 and 47.2 of Issue Standards, the placement of shares of the absorbing Company is carried out by conversion. The conversion of shares of the absorbed joint-stock company may be carried out into shares acquired and (or) repurchased by the absorbing joint-stock company and (or) placed at the disposal of this joint-stock company and (or) into its additional shares. </w:t>
      </w:r>
    </w:p>
    <w:p w14:paraId="0CF9D9AF" w14:textId="77777777"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28 of the JSC Law, the decision on the increase of authorized capital of the company by the placement of additional shares is adopted by the General shareholders meeting or by the board of directors of the Company if, according to the Company Charter, it is entitled to adopt this decision. </w:t>
      </w:r>
    </w:p>
    <w:p w14:paraId="6820C040" w14:textId="49C66C3E"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article 10, clause 10.2, sub-clause 5 of the Charter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the decision on the increase of authorized capital of the company by the placement by the Company of additional shares pertains to the competence of the General shareholders meeting of the Company.</w:t>
      </w:r>
    </w:p>
    <w:p w14:paraId="4B7C417F" w14:textId="39499EF5"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Whereas the quantity of ordinary authorized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set out by clause 4.5 of the Charter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is insufficient for the placement of the quantity of additional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required for the conversion of the absorbed company shares, the decision on the increase of authorized capital by the placement by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of additional shares may be adopted by the General meeting of shareholders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Under the article 28, clause 3 of the JSC Law, the decision on the increase of authorized capital of the company by the placement of additional shares may be adopted by the General meeting of shareholders simultaneously with the decision on the inclusion into the Company Charter of provisions on authorized shares or on the change of provisions on authorized shares. </w:t>
      </w:r>
    </w:p>
    <w:p w14:paraId="78E994B4" w14:textId="79AEA753"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In connection with the above, the reorganization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by merging with ROSSETI Kuban</w:t>
      </w:r>
      <w:r w:rsidR="00536CA2" w:rsidRPr="00536CA2">
        <w:rPr>
          <w:rFonts w:ascii="Times New Roman" w:hAnsi="Times New Roman" w:cs="Times New Roman"/>
          <w:sz w:val="26"/>
          <w:szCs w:val="26"/>
          <w:lang w:val="en-US"/>
        </w:rPr>
        <w:t xml:space="preserve">, </w:t>
      </w:r>
      <w:r w:rsidR="00536CA2">
        <w:rPr>
          <w:rFonts w:ascii="Times New Roman" w:hAnsi="Times New Roman" w:cs="Times New Roman"/>
          <w:sz w:val="26"/>
          <w:szCs w:val="26"/>
          <w:lang w:val="en"/>
        </w:rPr>
        <w:t>JSC</w:t>
      </w:r>
      <w:r>
        <w:rPr>
          <w:rFonts w:ascii="Times New Roman" w:hAnsi="Times New Roman" w:cs="Times New Roman"/>
          <w:sz w:val="26"/>
          <w:szCs w:val="26"/>
          <w:lang w:val="en"/>
        </w:rPr>
        <w:t xml:space="preserve"> requires the adoption by the extraordinary general meeting of shareholders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of decision on the increase of authorized capital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by the placement of additional shares. </w:t>
      </w:r>
    </w:p>
    <w:p w14:paraId="33FAA8FD" w14:textId="77777777"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lastRenderedPageBreak/>
        <w:t xml:space="preserve">Under the article 49, clause 3 of the JSC Law, the decision on the increase of authorized capital of the joint-stock company by the placement of additional shares is adopted by the General meeting of shareholders only on the proposal of the board of directors of the company.  </w:t>
      </w:r>
    </w:p>
    <w:p w14:paraId="3231C575" w14:textId="7AD2935B"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Under the chapter 47, clause 47.5 of Issue Standards, the decision on the increase of authorized capital by the placement of additional shares of the absorbing joint-stock company shall specify the quantity of placed additional shares within the limit of authorized shares of this category, the method of additional shares placement </w:t>
      </w:r>
      <w:proofErr w:type="gramStart"/>
      <w:r w:rsidR="009E0AA1">
        <w:rPr>
          <w:rFonts w:ascii="Times New Roman" w:hAnsi="Times New Roman" w:cs="Times New Roman"/>
          <w:sz w:val="26"/>
          <w:szCs w:val="26"/>
          <w:lang w:val="en"/>
        </w:rPr>
        <w:t>are</w:t>
      </w:r>
      <w:proofErr w:type="gramEnd"/>
      <w:r w:rsidR="009E0AA1">
        <w:rPr>
          <w:rFonts w:ascii="Times New Roman" w:hAnsi="Times New Roman" w:cs="Times New Roman"/>
          <w:sz w:val="26"/>
          <w:szCs w:val="26"/>
          <w:lang w:val="en"/>
        </w:rPr>
        <w:t xml:space="preserve"> </w:t>
      </w:r>
      <w:r>
        <w:rPr>
          <w:rFonts w:ascii="Times New Roman" w:hAnsi="Times New Roman" w:cs="Times New Roman"/>
          <w:sz w:val="26"/>
          <w:szCs w:val="26"/>
          <w:lang w:val="en"/>
        </w:rPr>
        <w:t xml:space="preserve">conversion, conversion coefficient. </w:t>
      </w:r>
    </w:p>
    <w:p w14:paraId="3A70E149" w14:textId="6AEEDE4E"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In terms of the total quantity of placed shares of the absorbed company and the approved conversion coefficient, the quantity of additional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required for the conversion of shares of the absorbed company shall be determined. </w:t>
      </w:r>
    </w:p>
    <w:p w14:paraId="177F87D0" w14:textId="0740E3B8" w:rsidR="007319E4" w:rsidRPr="001F1D85" w:rsidRDefault="00000000">
      <w:pPr>
        <w:spacing w:after="0" w:line="240" w:lineRule="auto"/>
        <w:ind w:firstLine="567"/>
        <w:jc w:val="both"/>
        <w:rPr>
          <w:lang w:val="en-US"/>
        </w:rPr>
      </w:pPr>
      <w:r>
        <w:rPr>
          <w:rFonts w:ascii="Times New Roman" w:hAnsi="Times New Roman" w:cs="Times New Roman"/>
          <w:sz w:val="26"/>
          <w:szCs w:val="26"/>
          <w:lang w:val="en"/>
        </w:rPr>
        <w:t xml:space="preserve">The quantity of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that the absorbed company shareholder must obtain is calculated by dividing the quantity of his shares in the absorbed company by the conversion coefficient set out by the decision on the increase of authorized capital by the placement of additional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by the agreement of accession.</w:t>
      </w:r>
    </w:p>
    <w:p w14:paraId="1289E552" w14:textId="2CA6C7F4" w:rsidR="007319E4" w:rsidRPr="001F1D85" w:rsidRDefault="00000000">
      <w:pPr>
        <w:spacing w:after="0" w:line="240" w:lineRule="auto"/>
        <w:ind w:firstLine="567"/>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shares of the absorbed company are converted to ordinary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subject to the article 17 of the JSC Law. In particular, the absorbed company shares are converted into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in accordance with the conversion coefficient. </w:t>
      </w:r>
    </w:p>
    <w:p w14:paraId="4F2F3B74" w14:textId="440ECC5E"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share conversion coefficient is determined by the decision of the General shareholders meeting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on the increase of authorized capital by the placement of additional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and by the agreement of accession adopted by the General shareholders meeting of the company engaged in reorganization. </w:t>
      </w:r>
    </w:p>
    <w:p w14:paraId="6208A19D" w14:textId="02AFE619"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If during the determination of the estimated quantity of ordinary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which the absorbed company shareholder must obtain, the estimated quantity of shares of any shareholder is fractional, the fractional part of this quantity of shares is subject to rounding under the mathematical rounding rules understood as the following rules: </w:t>
      </w:r>
    </w:p>
    <w:p w14:paraId="002CE106" w14:textId="77777777"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w:t>
      </w:r>
      <w:proofErr w:type="spellStart"/>
      <w:r>
        <w:rPr>
          <w:rFonts w:ascii="Times New Roman" w:hAnsi="Times New Roman" w:cs="Times New Roman"/>
          <w:sz w:val="26"/>
          <w:szCs w:val="26"/>
          <w:lang w:val="en"/>
        </w:rPr>
        <w:t>i</w:t>
      </w:r>
      <w:proofErr w:type="spellEnd"/>
      <w:r>
        <w:rPr>
          <w:rFonts w:ascii="Times New Roman" w:hAnsi="Times New Roman" w:cs="Times New Roman"/>
          <w:sz w:val="26"/>
          <w:szCs w:val="26"/>
          <w:lang w:val="en"/>
        </w:rPr>
        <w:t xml:space="preserve">) at decimals from 5 to 9 inclusive, the whole number is added with figure one and decimals are neglected; </w:t>
      </w:r>
    </w:p>
    <w:p w14:paraId="54C1669D" w14:textId="77777777"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(ii) at decimals from 0 to 4 inclusive, only the whole number is counted and decimals are neglected. </w:t>
      </w:r>
    </w:p>
    <w:p w14:paraId="1A8A8129" w14:textId="17970FEE"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If, as a result of rounding, any shareholder of the absorbed company is not entitled to any ordinary share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this shareholder obtains one ordinary share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w:t>
      </w:r>
    </w:p>
    <w:p w14:paraId="4E89C7E1" w14:textId="667AB624" w:rsidR="007319E4" w:rsidRPr="001F1D85" w:rsidRDefault="00000000">
      <w:pPr>
        <w:spacing w:after="0" w:line="240" w:lineRule="auto"/>
        <w:ind w:firstLine="708"/>
        <w:jc w:val="both"/>
        <w:rPr>
          <w:rFonts w:ascii="Times New Roman" w:hAnsi="Times New Roman" w:cs="Times New Roman"/>
          <w:sz w:val="26"/>
          <w:szCs w:val="26"/>
          <w:lang w:val="en-US"/>
        </w:rPr>
      </w:pPr>
      <w:r>
        <w:rPr>
          <w:rFonts w:ascii="Times New Roman" w:hAnsi="Times New Roman" w:cs="Times New Roman"/>
          <w:sz w:val="26"/>
          <w:szCs w:val="26"/>
          <w:lang w:val="en"/>
        </w:rPr>
        <w:t xml:space="preserve">The estimated quantity of additional ordinary shares of </w:t>
      </w:r>
      <w:r w:rsidR="001F1D85">
        <w:rPr>
          <w:rFonts w:ascii="Times New Roman" w:hAnsi="Times New Roman" w:cs="Times New Roman"/>
          <w:sz w:val="26"/>
          <w:szCs w:val="26"/>
          <w:lang w:val="en"/>
        </w:rPr>
        <w:t>ROSSETI SOUTH, PJSC</w:t>
      </w:r>
      <w:r>
        <w:rPr>
          <w:rFonts w:ascii="Times New Roman" w:hAnsi="Times New Roman" w:cs="Times New Roman"/>
          <w:sz w:val="26"/>
          <w:szCs w:val="26"/>
          <w:lang w:val="en"/>
        </w:rPr>
        <w:t xml:space="preserve"> for conversion is </w:t>
      </w:r>
      <w:r>
        <w:rPr>
          <w:rFonts w:ascii="Times New Roman" w:eastAsia="Calibri" w:hAnsi="Times New Roman" w:cs="Times New Roman"/>
          <w:color w:val="000000"/>
          <w:sz w:val="26"/>
          <w:szCs w:val="26"/>
          <w:lang w:val="en"/>
        </w:rPr>
        <w:t>540,638,202,822</w:t>
      </w:r>
      <w:r>
        <w:rPr>
          <w:rFonts w:ascii="Times New Roman" w:hAnsi="Times New Roman" w:cs="Times New Roman"/>
          <w:sz w:val="26"/>
          <w:szCs w:val="26"/>
          <w:lang w:val="en"/>
        </w:rPr>
        <w:t xml:space="preserve"> shares. </w:t>
      </w:r>
    </w:p>
    <w:p w14:paraId="16C5CF3E" w14:textId="1C93203B" w:rsidR="007319E4" w:rsidRPr="001F1D85" w:rsidRDefault="00000000">
      <w:pPr>
        <w:spacing w:after="0" w:line="240" w:lineRule="auto"/>
        <w:ind w:firstLine="567"/>
        <w:jc w:val="both"/>
        <w:rPr>
          <w:lang w:val="en-US"/>
        </w:rPr>
      </w:pPr>
      <w:r>
        <w:rPr>
          <w:rFonts w:ascii="Times New Roman" w:eastAsia="Times New Roman" w:hAnsi="Times New Roman" w:cs="Times New Roman"/>
          <w:bCs/>
          <w:sz w:val="26"/>
          <w:szCs w:val="26"/>
          <w:lang w:val="en"/>
        </w:rPr>
        <w:t xml:space="preserve">The Board of directors of </w:t>
      </w:r>
      <w:r w:rsidR="001F1D85">
        <w:rPr>
          <w:rFonts w:ascii="Times New Roman" w:eastAsia="Times New Roman" w:hAnsi="Times New Roman" w:cs="Times New Roman"/>
          <w:bCs/>
          <w:sz w:val="26"/>
          <w:szCs w:val="26"/>
          <w:lang w:val="en"/>
        </w:rPr>
        <w:t>ROSSETI SOUTH, PJSC</w:t>
      </w:r>
      <w:r>
        <w:rPr>
          <w:rFonts w:ascii="Times New Roman" w:eastAsia="Times New Roman" w:hAnsi="Times New Roman" w:cs="Times New Roman"/>
          <w:bCs/>
          <w:sz w:val="26"/>
          <w:szCs w:val="26"/>
          <w:lang w:val="en"/>
        </w:rPr>
        <w:t xml:space="preserve"> by the decision dated 11.04.2025 (minutes of meeting No. 613/2025) recommended to the General shareholders meeting of </w:t>
      </w:r>
      <w:r w:rsidR="001F1D85">
        <w:rPr>
          <w:rFonts w:ascii="Times New Roman" w:eastAsia="Times New Roman" w:hAnsi="Times New Roman" w:cs="Times New Roman"/>
          <w:bCs/>
          <w:sz w:val="26"/>
          <w:szCs w:val="26"/>
          <w:lang w:val="en"/>
        </w:rPr>
        <w:t>ROSSETI SOUTH, PJSC</w:t>
      </w:r>
      <w:r>
        <w:rPr>
          <w:rFonts w:ascii="Times New Roman" w:eastAsia="Calibri" w:hAnsi="Times New Roman" w:cs="Times New Roman"/>
          <w:bCs/>
          <w:color w:val="000000"/>
          <w:sz w:val="26"/>
          <w:szCs w:val="26"/>
          <w:lang w:val="en"/>
        </w:rPr>
        <w:t xml:space="preserve"> to adopt the following decision:</w:t>
      </w:r>
    </w:p>
    <w:p w14:paraId="3DAC4275" w14:textId="7AAED53A" w:rsidR="007319E4" w:rsidRPr="001F1D85"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"1. Increase the authorized capital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by the placement of additional ordinary shares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number of 540,638,202,822 (Five hundred forty billion six hundred thirty-eight million two hundred two thousand eight hundred twenty-two) shares with a nominal value of 10 (Ten) kopecks each for a </w:t>
      </w:r>
      <w:r>
        <w:rPr>
          <w:rFonts w:ascii="Times New Roman" w:eastAsia="Calibri" w:hAnsi="Times New Roman" w:cs="Times New Roman"/>
          <w:color w:val="000000"/>
          <w:sz w:val="26"/>
          <w:szCs w:val="26"/>
          <w:lang w:val="en"/>
        </w:rPr>
        <w:lastRenderedPageBreak/>
        <w:t xml:space="preserve">total amount at par value of 54,063,820,282 (Fifty-four billion sixty-three million eight hundred twenty thousand two hundred eighty-two) rubles 20 (Twenty) kopecks. </w:t>
      </w:r>
    </w:p>
    <w:p w14:paraId="147E608B" w14:textId="51777281" w:rsidR="007319E4" w:rsidRPr="001F1D85"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2. Determine the following method of placing additional ordinary shares of </w:t>
      </w:r>
      <w:r w:rsidR="001F1D85">
        <w:rPr>
          <w:rFonts w:ascii="Times New Roman" w:eastAsia="Calibri" w:hAnsi="Times New Roman" w:cs="Times New Roman"/>
          <w:color w:val="000000"/>
          <w:sz w:val="26"/>
          <w:szCs w:val="26"/>
          <w:lang w:val="en"/>
        </w:rPr>
        <w:t>ROSSETI SOUTH, PJSC</w:t>
      </w:r>
      <w:r w:rsidR="009E0AA1">
        <w:rPr>
          <w:rFonts w:ascii="Times New Roman" w:eastAsia="Calibri" w:hAnsi="Times New Roman" w:cs="Times New Roman"/>
          <w:color w:val="000000"/>
          <w:sz w:val="26"/>
          <w:szCs w:val="26"/>
          <w:lang w:val="en"/>
        </w:rPr>
        <w:t>:</w:t>
      </w:r>
      <w:r>
        <w:rPr>
          <w:rFonts w:ascii="Times New Roman" w:eastAsia="Calibri" w:hAnsi="Times New Roman" w:cs="Times New Roman"/>
          <w:color w:val="000000"/>
          <w:sz w:val="26"/>
          <w:szCs w:val="26"/>
          <w:lang w:val="en"/>
        </w:rPr>
        <w:t xml:space="preserve"> the conversion of ordinary shares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into additional ordinary shares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manner prescribed by the agreement of accession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to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being Appendix 1 to these minutes of meeting.</w:t>
      </w:r>
    </w:p>
    <w:p w14:paraId="4F4A6666" w14:textId="4FF794AE" w:rsidR="007319E4" w:rsidRPr="00322210"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3. Determine the following conversion coefficient: 0.000737954 ordinary shares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are converted into 1 (one) ordinary share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w:t>
      </w:r>
    </w:p>
    <w:p w14:paraId="74472FD8" w14:textId="77777777" w:rsidR="007319E4" w:rsidRPr="001F1D85"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Times New Roman" w:hAnsi="Times New Roman" w:cs="Times New Roman"/>
          <w:bCs/>
          <w:sz w:val="26"/>
          <w:szCs w:val="26"/>
          <w:lang w:val="en"/>
        </w:rPr>
        <w:t xml:space="preserve"> In accordance with the article 10, clause 10.5 of the Company Charter, the decision on this item requires a majority vote of voting shareholders of the Company participating in absentee voting.</w:t>
      </w:r>
    </w:p>
    <w:p w14:paraId="6A0354AC" w14:textId="687A0D95" w:rsidR="007319E4" w:rsidRPr="001F1D85" w:rsidRDefault="00000000">
      <w:pPr>
        <w:spacing w:after="0" w:line="240" w:lineRule="auto"/>
        <w:ind w:firstLine="567"/>
        <w:jc w:val="both"/>
        <w:rPr>
          <w:lang w:val="en-US"/>
        </w:rPr>
      </w:pPr>
      <w:r>
        <w:rPr>
          <w:rFonts w:ascii="Times New Roman" w:eastAsia="Times New Roman" w:hAnsi="Times New Roman" w:cs="Times New Roman"/>
          <w:sz w:val="26"/>
          <w:szCs w:val="26"/>
          <w:lang w:val="en"/>
        </w:rPr>
        <w:t xml:space="preserve">Given these considerations, the General shareholders meeting of </w:t>
      </w:r>
      <w:r w:rsidR="001F1D85">
        <w:rPr>
          <w:rFonts w:ascii="Times New Roman" w:eastAsia="Times New Roman" w:hAnsi="Times New Roman" w:cs="Times New Roman"/>
          <w:sz w:val="26"/>
          <w:szCs w:val="26"/>
          <w:lang w:val="en"/>
        </w:rPr>
        <w:t>ROSSETI SOUTH, PJSC</w:t>
      </w:r>
      <w:r>
        <w:rPr>
          <w:rFonts w:ascii="Times New Roman" w:eastAsia="Times New Roman" w:hAnsi="Times New Roman" w:cs="Times New Roman"/>
          <w:sz w:val="26"/>
          <w:szCs w:val="26"/>
          <w:lang w:val="en"/>
        </w:rPr>
        <w:t xml:space="preserve"> is proposed to make decision on this item.</w:t>
      </w:r>
    </w:p>
    <w:p w14:paraId="1CD43735" w14:textId="77777777" w:rsidR="007319E4" w:rsidRPr="001F1D85" w:rsidRDefault="00000000">
      <w:pPr>
        <w:spacing w:after="0" w:line="240" w:lineRule="auto"/>
        <w:ind w:firstLine="567"/>
        <w:contextualSpacing/>
        <w:jc w:val="both"/>
        <w:rPr>
          <w:u w:val="single"/>
          <w:lang w:val="en-US"/>
        </w:rPr>
      </w:pPr>
      <w:r>
        <w:rPr>
          <w:rFonts w:ascii="Times New Roman" w:hAnsi="Times New Roman" w:cs="Times New Roman"/>
          <w:b/>
          <w:sz w:val="26"/>
          <w:szCs w:val="26"/>
          <w:u w:val="single"/>
          <w:lang w:val="en"/>
        </w:rPr>
        <w:t>DRAFT DECISION</w:t>
      </w:r>
      <w:r>
        <w:rPr>
          <w:rFonts w:ascii="Times New Roman" w:hAnsi="Times New Roman" w:cs="Times New Roman"/>
          <w:sz w:val="26"/>
          <w:szCs w:val="26"/>
          <w:u w:val="single"/>
          <w:lang w:val="en"/>
        </w:rPr>
        <w:t>:</w:t>
      </w:r>
    </w:p>
    <w:p w14:paraId="1456B53D" w14:textId="300EB405" w:rsidR="007319E4" w:rsidRPr="001F1D85"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1. Increase the authorized capital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by the placement of additional ordinary shares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number of 540,638,202.822 (Five hundred forty billion six hundred </w:t>
      </w:r>
      <w:r w:rsidR="00E55358">
        <w:rPr>
          <w:rFonts w:ascii="Times New Roman" w:eastAsia="Calibri" w:hAnsi="Times New Roman" w:cs="Times New Roman"/>
          <w:color w:val="000000"/>
          <w:sz w:val="26"/>
          <w:szCs w:val="26"/>
          <w:lang w:val="en"/>
        </w:rPr>
        <w:t>thirty-eight</w:t>
      </w:r>
      <w:r>
        <w:rPr>
          <w:rFonts w:ascii="Times New Roman" w:eastAsia="Calibri" w:hAnsi="Times New Roman" w:cs="Times New Roman"/>
          <w:color w:val="000000"/>
          <w:sz w:val="26"/>
          <w:szCs w:val="26"/>
          <w:lang w:val="en"/>
        </w:rPr>
        <w:t xml:space="preserve"> million two hundred two thousand eight hundred </w:t>
      </w:r>
      <w:r w:rsidR="00E55358">
        <w:rPr>
          <w:rFonts w:ascii="Times New Roman" w:eastAsia="Calibri" w:hAnsi="Times New Roman" w:cs="Times New Roman"/>
          <w:color w:val="000000"/>
          <w:sz w:val="26"/>
          <w:szCs w:val="26"/>
          <w:lang w:val="en"/>
        </w:rPr>
        <w:t>twenty-two</w:t>
      </w:r>
      <w:r>
        <w:rPr>
          <w:rFonts w:ascii="Times New Roman" w:eastAsia="Calibri" w:hAnsi="Times New Roman" w:cs="Times New Roman"/>
          <w:color w:val="000000"/>
          <w:sz w:val="26"/>
          <w:szCs w:val="26"/>
          <w:lang w:val="en"/>
        </w:rPr>
        <w:t xml:space="preserve">) shares with a nominal value of 10 (Ten) kopecks each for a total amount at par value of 54,063,820,282 (Fifty-four billion sixty-three million eight hundred twenty thousand two hundred eighty-two) rubles 20 (Twenty) kopecks. </w:t>
      </w:r>
    </w:p>
    <w:p w14:paraId="5D73957D" w14:textId="1E7559CC" w:rsidR="007319E4" w:rsidRPr="001F1D85"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2. Determine the following method of placing additional ordinary shares of </w:t>
      </w:r>
      <w:r w:rsidR="001F1D85">
        <w:rPr>
          <w:rFonts w:ascii="Times New Roman" w:eastAsia="Calibri" w:hAnsi="Times New Roman" w:cs="Times New Roman"/>
          <w:color w:val="000000"/>
          <w:sz w:val="26"/>
          <w:szCs w:val="26"/>
          <w:lang w:val="en"/>
        </w:rPr>
        <w:t>ROSSETI SOUTH, PJSC</w:t>
      </w:r>
      <w:r w:rsidR="00401A58" w:rsidRPr="00401A58">
        <w:rPr>
          <w:rFonts w:ascii="Times New Roman" w:eastAsia="Calibri" w:hAnsi="Times New Roman" w:cs="Times New Roman"/>
          <w:color w:val="000000"/>
          <w:sz w:val="26"/>
          <w:szCs w:val="26"/>
          <w:lang w:val="en-US"/>
        </w:rPr>
        <w:t>:</w:t>
      </w:r>
      <w:r>
        <w:rPr>
          <w:rFonts w:ascii="Times New Roman" w:eastAsia="Calibri" w:hAnsi="Times New Roman" w:cs="Times New Roman"/>
          <w:color w:val="000000"/>
          <w:sz w:val="26"/>
          <w:szCs w:val="26"/>
          <w:lang w:val="en"/>
        </w:rPr>
        <w:t xml:space="preserve"> the conversion of ordinary shares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into additional ordinary shares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in the manner prescribed by the agreement of accession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to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 xml:space="preserve"> being Appendix 1 to these minutes of meeting.</w:t>
      </w:r>
    </w:p>
    <w:p w14:paraId="363ABC52" w14:textId="76990148" w:rsidR="007319E4" w:rsidRPr="00322210" w:rsidRDefault="00000000">
      <w:pPr>
        <w:widowControl w:val="0"/>
        <w:spacing w:line="240" w:lineRule="auto"/>
        <w:ind w:firstLine="567"/>
        <w:contextualSpacing/>
        <w:jc w:val="both"/>
        <w:rPr>
          <w:rFonts w:ascii="Times New Roman" w:eastAsia="Calibri" w:hAnsi="Times New Roman" w:cs="Times New Roman"/>
          <w:color w:val="000000"/>
          <w:sz w:val="26"/>
          <w:szCs w:val="26"/>
          <w:lang w:val="en-US"/>
        </w:rPr>
      </w:pPr>
      <w:r>
        <w:rPr>
          <w:rFonts w:ascii="Times New Roman" w:eastAsia="Calibri" w:hAnsi="Times New Roman" w:cs="Times New Roman"/>
          <w:color w:val="000000"/>
          <w:sz w:val="26"/>
          <w:szCs w:val="26"/>
          <w:lang w:val="en"/>
        </w:rPr>
        <w:t xml:space="preserve">3. Determine the following conversion coefficient: 0.000737954 ordinary shares of </w:t>
      </w:r>
      <w:r w:rsidR="00322210">
        <w:rPr>
          <w:rFonts w:ascii="Times New Roman" w:eastAsia="Calibri" w:hAnsi="Times New Roman" w:cs="Times New Roman"/>
          <w:color w:val="000000"/>
          <w:sz w:val="26"/>
          <w:szCs w:val="26"/>
          <w:lang w:val="en"/>
        </w:rPr>
        <w:t>ROSSETI Kuban, JSC</w:t>
      </w:r>
      <w:r>
        <w:rPr>
          <w:rFonts w:ascii="Times New Roman" w:eastAsia="Calibri" w:hAnsi="Times New Roman" w:cs="Times New Roman"/>
          <w:color w:val="000000"/>
          <w:sz w:val="26"/>
          <w:szCs w:val="26"/>
          <w:lang w:val="en"/>
        </w:rPr>
        <w:t xml:space="preserve"> are converted into 1 (one) ordinary share of </w:t>
      </w:r>
      <w:r w:rsidR="001F1D85">
        <w:rPr>
          <w:rFonts w:ascii="Times New Roman" w:eastAsia="Calibri" w:hAnsi="Times New Roman" w:cs="Times New Roman"/>
          <w:color w:val="000000"/>
          <w:sz w:val="26"/>
          <w:szCs w:val="26"/>
          <w:lang w:val="en"/>
        </w:rPr>
        <w:t>ROSSETI SOUTH, PJSC</w:t>
      </w:r>
      <w:r>
        <w:rPr>
          <w:rFonts w:ascii="Times New Roman" w:eastAsia="Calibri" w:hAnsi="Times New Roman" w:cs="Times New Roman"/>
          <w:color w:val="000000"/>
          <w:sz w:val="26"/>
          <w:szCs w:val="26"/>
          <w:lang w:val="en"/>
        </w:rPr>
        <w:t>.</w:t>
      </w:r>
    </w:p>
    <w:p w14:paraId="06575C73" w14:textId="77777777" w:rsidR="007319E4" w:rsidRPr="001F1D85" w:rsidRDefault="007319E4">
      <w:pPr>
        <w:widowControl w:val="0"/>
        <w:spacing w:line="240" w:lineRule="auto"/>
        <w:ind w:firstLine="567"/>
        <w:contextualSpacing/>
        <w:jc w:val="both"/>
        <w:rPr>
          <w:rFonts w:ascii="Times New Roman" w:eastAsia="Calibri" w:hAnsi="Times New Roman" w:cs="Times New Roman"/>
          <w:color w:val="000000"/>
          <w:sz w:val="26"/>
          <w:szCs w:val="26"/>
          <w:lang w:val="en-US"/>
        </w:rPr>
      </w:pPr>
    </w:p>
    <w:sectPr w:rsidR="007319E4" w:rsidRPr="001F1D85">
      <w:headerReference w:type="even" r:id="rId7"/>
      <w:headerReference w:type="default" r:id="rId8"/>
      <w:headerReference w:type="first" r:id="rId9"/>
      <w:pgSz w:w="11906" w:h="16838"/>
      <w:pgMar w:top="1418" w:right="850" w:bottom="1134" w:left="1701" w:header="709"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448152" w14:textId="77777777" w:rsidR="00617900" w:rsidRDefault="00617900">
      <w:pPr>
        <w:spacing w:after="0" w:line="240" w:lineRule="auto"/>
      </w:pPr>
      <w:r>
        <w:separator/>
      </w:r>
    </w:p>
  </w:endnote>
  <w:endnote w:type="continuationSeparator" w:id="0">
    <w:p w14:paraId="5F98FC81" w14:textId="77777777" w:rsidR="00617900" w:rsidRDefault="00617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w:charset w:val="00"/>
    <w:family w:val="swiss"/>
    <w:pitch w:val="variable"/>
    <w:sig w:usb0="E00082FF" w:usb1="400078FF" w:usb2="00000021"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02D95" w14:textId="77777777" w:rsidR="00617900" w:rsidRDefault="00617900">
      <w:pPr>
        <w:spacing w:after="0" w:line="240" w:lineRule="auto"/>
      </w:pPr>
      <w:r>
        <w:separator/>
      </w:r>
    </w:p>
  </w:footnote>
  <w:footnote w:type="continuationSeparator" w:id="0">
    <w:p w14:paraId="65021385" w14:textId="77777777" w:rsidR="00617900" w:rsidRDefault="006179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03863" w14:textId="77777777" w:rsidR="007319E4" w:rsidRDefault="007319E4">
    <w:pPr>
      <w:pStyle w:val="ae"/>
      <w:ind w:left="2977"/>
      <w:jc w:val="center"/>
      <w:rPr>
        <w:i/>
      </w:rPr>
    </w:pPr>
  </w:p>
  <w:p w14:paraId="400FE9C2" w14:textId="77777777" w:rsidR="007319E4" w:rsidRDefault="007319E4">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3E577" w14:textId="77777777" w:rsidR="007319E4" w:rsidRDefault="007319E4">
    <w:pPr>
      <w:pStyle w:val="ae"/>
      <w:ind w:left="2977"/>
      <w:jc w:val="center"/>
      <w:rPr>
        <w: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D34E9" w14:textId="44E55964" w:rsidR="007319E4" w:rsidRPr="001F1D85" w:rsidRDefault="00000000">
    <w:pPr>
      <w:pStyle w:val="ae"/>
      <w:ind w:left="2977"/>
      <w:jc w:val="center"/>
      <w:rPr>
        <w:i/>
        <w:lang w:val="en-US"/>
      </w:rPr>
    </w:pPr>
    <w:r>
      <w:rPr>
        <w:i/>
        <w:lang w:val="en"/>
      </w:rPr>
      <w:t xml:space="preserve">Public Joint-Stock Company </w:t>
    </w:r>
    <w:r w:rsidR="001F1D85" w:rsidRPr="001F1D85">
      <w:rPr>
        <w:i/>
        <w:lang w:val="en-US"/>
      </w:rPr>
      <w:t>"</w:t>
    </w:r>
    <w:r>
      <w:rPr>
        <w:i/>
        <w:lang w:val="en"/>
      </w:rPr>
      <w:t>ROSSETI South</w:t>
    </w:r>
    <w:r w:rsidR="001F1D85" w:rsidRPr="001F1D85">
      <w:rPr>
        <w:i/>
        <w:lang w:val="en-US"/>
      </w:rPr>
      <w:t>"</w:t>
    </w:r>
  </w:p>
  <w:p w14:paraId="25C3A93C" w14:textId="77777777" w:rsidR="007319E4" w:rsidRPr="001F1D85" w:rsidRDefault="007319E4">
    <w:pPr>
      <w:pStyle w:val="a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evenAndOddHeaders/>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9E4"/>
    <w:rsid w:val="000C1681"/>
    <w:rsid w:val="001F1D85"/>
    <w:rsid w:val="00322210"/>
    <w:rsid w:val="00392212"/>
    <w:rsid w:val="00401A58"/>
    <w:rsid w:val="00536CA2"/>
    <w:rsid w:val="00617900"/>
    <w:rsid w:val="007319E4"/>
    <w:rsid w:val="009E0AA1"/>
    <w:rsid w:val="00B0166B"/>
    <w:rsid w:val="00E55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299F"/>
  <w15:docId w15:val="{51F166BF-9A6C-4AF0-B6BC-7CEE8BF55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
    <w:name w:val="heading 1"/>
    <w:basedOn w:val="a"/>
    <w:uiPriority w:val="9"/>
    <w:qFormat/>
    <w:pPr>
      <w:keepNext/>
      <w:keepLines/>
      <w:spacing w:before="480"/>
      <w:outlineLvl w:val="0"/>
    </w:pPr>
    <w:rPr>
      <w:rFonts w:ascii="Arial" w:eastAsia="Arial" w:hAnsi="Arial" w:cs="Arial"/>
      <w:sz w:val="40"/>
      <w:szCs w:val="40"/>
    </w:rPr>
  </w:style>
  <w:style w:type="paragraph" w:styleId="2">
    <w:name w:val="heading 2"/>
    <w:basedOn w:val="a"/>
    <w:uiPriority w:val="9"/>
    <w:unhideWhenUsed/>
    <w:qFormat/>
    <w:pPr>
      <w:keepNext/>
      <w:keepLines/>
      <w:spacing w:before="360"/>
      <w:outlineLvl w:val="1"/>
    </w:pPr>
    <w:rPr>
      <w:rFonts w:ascii="Arial" w:eastAsia="Arial" w:hAnsi="Arial" w:cs="Arial"/>
      <w:sz w:val="34"/>
    </w:rPr>
  </w:style>
  <w:style w:type="paragraph" w:styleId="3">
    <w:name w:val="heading 3"/>
    <w:basedOn w:val="a"/>
    <w:uiPriority w:val="9"/>
    <w:unhideWhenUsed/>
    <w:qFormat/>
    <w:pPr>
      <w:keepNext/>
      <w:keepLines/>
      <w:spacing w:before="320"/>
      <w:outlineLvl w:val="2"/>
    </w:pPr>
    <w:rPr>
      <w:rFonts w:ascii="Arial" w:eastAsia="Arial" w:hAnsi="Arial" w:cs="Arial"/>
      <w:sz w:val="30"/>
      <w:szCs w:val="30"/>
    </w:rPr>
  </w:style>
  <w:style w:type="paragraph" w:styleId="4">
    <w:name w:val="heading 4"/>
    <w:basedOn w:val="a"/>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uiPriority w:val="9"/>
    <w:unhideWhenUsed/>
    <w:qFormat/>
    <w:pPr>
      <w:keepNext/>
      <w:keepLines/>
      <w:spacing w:before="320"/>
      <w:outlineLvl w:val="5"/>
    </w:pPr>
    <w:rPr>
      <w:rFonts w:ascii="Arial" w:eastAsia="Arial" w:hAnsi="Arial" w:cs="Arial"/>
      <w:b/>
      <w:bCs/>
    </w:rPr>
  </w:style>
  <w:style w:type="paragraph" w:styleId="7">
    <w:name w:val="heading 7"/>
    <w:basedOn w:val="a"/>
    <w:uiPriority w:val="9"/>
    <w:unhideWhenUsed/>
    <w:qFormat/>
    <w:pPr>
      <w:keepNext/>
      <w:keepLines/>
      <w:spacing w:before="320"/>
      <w:outlineLvl w:val="6"/>
    </w:pPr>
    <w:rPr>
      <w:rFonts w:ascii="Arial" w:eastAsia="Arial" w:hAnsi="Arial" w:cs="Arial"/>
      <w:b/>
      <w:bCs/>
      <w:i/>
      <w:iCs/>
    </w:rPr>
  </w:style>
  <w:style w:type="paragraph" w:styleId="8">
    <w:name w:val="heading 8"/>
    <w:basedOn w:val="a"/>
    <w:uiPriority w:val="9"/>
    <w:unhideWhenUsed/>
    <w:qFormat/>
    <w:pPr>
      <w:keepNext/>
      <w:keepLines/>
      <w:spacing w:before="320"/>
      <w:outlineLvl w:val="7"/>
    </w:pPr>
    <w:rPr>
      <w:rFonts w:ascii="Arial" w:eastAsia="Arial" w:hAnsi="Arial" w:cs="Arial"/>
      <w:i/>
      <w:iCs/>
    </w:rPr>
  </w:style>
  <w:style w:type="paragraph" w:styleId="9">
    <w:name w:val="heading 9"/>
    <w:basedOn w:val="a"/>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qFormat/>
    <w:rPr>
      <w:rFonts w:ascii="Arial" w:eastAsia="Arial" w:hAnsi="Arial" w:cs="Arial"/>
      <w:sz w:val="40"/>
      <w:szCs w:val="40"/>
    </w:rPr>
  </w:style>
  <w:style w:type="character" w:customStyle="1" w:styleId="Heading2Char">
    <w:name w:val="Heading 2 Char"/>
    <w:uiPriority w:val="9"/>
    <w:qFormat/>
    <w:rPr>
      <w:rFonts w:ascii="Arial" w:eastAsia="Arial" w:hAnsi="Arial" w:cs="Arial"/>
      <w:sz w:val="34"/>
    </w:rPr>
  </w:style>
  <w:style w:type="character" w:customStyle="1" w:styleId="Heading3Char">
    <w:name w:val="Heading 3 Char"/>
    <w:uiPriority w:val="9"/>
    <w:qFormat/>
    <w:rPr>
      <w:rFonts w:ascii="Arial" w:eastAsia="Arial" w:hAnsi="Arial" w:cs="Arial"/>
      <w:sz w:val="30"/>
      <w:szCs w:val="30"/>
    </w:rPr>
  </w:style>
  <w:style w:type="character" w:customStyle="1" w:styleId="Heading4Char">
    <w:name w:val="Heading 4 Char"/>
    <w:uiPriority w:val="9"/>
    <w:qFormat/>
    <w:rPr>
      <w:rFonts w:ascii="Arial" w:eastAsia="Arial" w:hAnsi="Arial" w:cs="Arial"/>
      <w:b/>
      <w:bCs/>
      <w:sz w:val="26"/>
      <w:szCs w:val="26"/>
    </w:rPr>
  </w:style>
  <w:style w:type="character" w:customStyle="1" w:styleId="Heading5Char">
    <w:name w:val="Heading 5 Char"/>
    <w:uiPriority w:val="9"/>
    <w:qFormat/>
    <w:rPr>
      <w:rFonts w:ascii="Arial" w:eastAsia="Arial" w:hAnsi="Arial" w:cs="Arial"/>
      <w:b/>
      <w:bCs/>
      <w:sz w:val="24"/>
      <w:szCs w:val="24"/>
    </w:rPr>
  </w:style>
  <w:style w:type="character" w:customStyle="1" w:styleId="Heading6Char">
    <w:name w:val="Heading 6 Char"/>
    <w:uiPriority w:val="9"/>
    <w:qFormat/>
    <w:rPr>
      <w:rFonts w:ascii="Arial" w:eastAsia="Arial" w:hAnsi="Arial" w:cs="Arial"/>
      <w:b/>
      <w:bCs/>
      <w:sz w:val="22"/>
      <w:szCs w:val="22"/>
    </w:rPr>
  </w:style>
  <w:style w:type="character" w:customStyle="1" w:styleId="Heading7Char">
    <w:name w:val="Heading 7 Char"/>
    <w:uiPriority w:val="9"/>
    <w:qFormat/>
    <w:rPr>
      <w:rFonts w:ascii="Arial" w:eastAsia="Arial" w:hAnsi="Arial" w:cs="Arial"/>
      <w:b/>
      <w:bCs/>
      <w:i/>
      <w:iCs/>
      <w:sz w:val="22"/>
      <w:szCs w:val="22"/>
    </w:rPr>
  </w:style>
  <w:style w:type="character" w:customStyle="1" w:styleId="Heading8Char">
    <w:name w:val="Heading 8 Char"/>
    <w:uiPriority w:val="9"/>
    <w:qFormat/>
    <w:rPr>
      <w:rFonts w:ascii="Arial" w:eastAsia="Arial" w:hAnsi="Arial" w:cs="Arial"/>
      <w:i/>
      <w:iCs/>
      <w:sz w:val="22"/>
      <w:szCs w:val="22"/>
    </w:rPr>
  </w:style>
  <w:style w:type="character" w:customStyle="1" w:styleId="Heading9Char">
    <w:name w:val="Heading 9 Char"/>
    <w:uiPriority w:val="9"/>
    <w:qFormat/>
    <w:rPr>
      <w:rFonts w:ascii="Arial" w:eastAsia="Arial" w:hAnsi="Arial" w:cs="Arial"/>
      <w:i/>
      <w:iCs/>
      <w:sz w:val="21"/>
      <w:szCs w:val="21"/>
    </w:rPr>
  </w:style>
  <w:style w:type="character" w:customStyle="1" w:styleId="TitleChar">
    <w:name w:val="Title Char"/>
    <w:uiPriority w:val="10"/>
    <w:qFormat/>
    <w:rPr>
      <w:sz w:val="48"/>
      <w:szCs w:val="48"/>
    </w:rPr>
  </w:style>
  <w:style w:type="character" w:customStyle="1" w:styleId="SubtitleChar">
    <w:name w:val="Subtitle Char"/>
    <w:uiPriority w:val="11"/>
    <w:qFormat/>
    <w:rPr>
      <w:sz w:val="24"/>
      <w:szCs w:val="24"/>
    </w:rPr>
  </w:style>
  <w:style w:type="character" w:customStyle="1" w:styleId="QuoteChar">
    <w:name w:val="Quote Char"/>
    <w:uiPriority w:val="29"/>
    <w:qFormat/>
    <w:rPr>
      <w:i/>
    </w:rPr>
  </w:style>
  <w:style w:type="character" w:customStyle="1" w:styleId="IntenseQuoteChar">
    <w:name w:val="Intense Quote Char"/>
    <w:uiPriority w:val="30"/>
    <w:qFormat/>
    <w:rPr>
      <w:i/>
    </w:rPr>
  </w:style>
  <w:style w:type="character" w:customStyle="1" w:styleId="HeaderChar">
    <w:name w:val="Header Char"/>
    <w:uiPriority w:val="99"/>
    <w:qFormat/>
  </w:style>
  <w:style w:type="character" w:customStyle="1" w:styleId="FooterChar">
    <w:name w:val="Footer Char"/>
    <w:uiPriority w:val="99"/>
    <w:qFormat/>
  </w:style>
  <w:style w:type="character" w:customStyle="1" w:styleId="CaptionChar">
    <w:name w:val="Caption Char"/>
    <w:uiPriority w:val="99"/>
    <w:qFormat/>
  </w:style>
  <w:style w:type="character" w:styleId="a3">
    <w:name w:val="Hyperlink"/>
    <w:uiPriority w:val="99"/>
    <w:unhideWhenUsed/>
    <w:rPr>
      <w:color w:val="0563C1" w:themeColor="hyperlink"/>
      <w:u w:val="single"/>
    </w:rPr>
  </w:style>
  <w:style w:type="character" w:customStyle="1" w:styleId="FootnoteTextChar">
    <w:name w:val="Footnote Text Char"/>
    <w:uiPriority w:val="99"/>
    <w:qFormat/>
    <w:rPr>
      <w:sz w:val="18"/>
    </w:rPr>
  </w:style>
  <w:style w:type="character" w:customStyle="1" w:styleId="a4">
    <w:name w:val="Символ сноски"/>
    <w:uiPriority w:val="99"/>
    <w:unhideWhenUsed/>
    <w:qFormat/>
    <w:rPr>
      <w:vertAlign w:val="superscript"/>
    </w:rPr>
  </w:style>
  <w:style w:type="character" w:styleId="a5">
    <w:name w:val="footnote reference"/>
    <w:rPr>
      <w:vertAlign w:val="superscript"/>
    </w:rPr>
  </w:style>
  <w:style w:type="character" w:customStyle="1" w:styleId="EndnoteTextChar">
    <w:name w:val="Endnote Text Char"/>
    <w:uiPriority w:val="99"/>
    <w:qFormat/>
    <w:rPr>
      <w:sz w:val="20"/>
    </w:rPr>
  </w:style>
  <w:style w:type="character" w:customStyle="1" w:styleId="a6">
    <w:name w:val="Символ концевой сноски"/>
    <w:uiPriority w:val="99"/>
    <w:semiHidden/>
    <w:unhideWhenUsed/>
    <w:qFormat/>
    <w:rPr>
      <w:vertAlign w:val="superscript"/>
    </w:rPr>
  </w:style>
  <w:style w:type="character" w:styleId="a7">
    <w:name w:val="endnote reference"/>
    <w:rPr>
      <w:vertAlign w:val="superscript"/>
    </w:rPr>
  </w:style>
  <w:style w:type="paragraph" w:customStyle="1" w:styleId="10">
    <w:name w:val="Заголовок1"/>
    <w:basedOn w:val="a"/>
    <w:next w:val="a8"/>
    <w:qFormat/>
    <w:pPr>
      <w:keepNext/>
      <w:spacing w:before="240" w:after="120"/>
    </w:pPr>
    <w:rPr>
      <w:rFonts w:ascii="Liberation Sans" w:eastAsia="Tahoma" w:hAnsi="Liberation Sans" w:cs="Noto Sans"/>
      <w:sz w:val="28"/>
      <w:szCs w:val="28"/>
    </w:rPr>
  </w:style>
  <w:style w:type="paragraph" w:styleId="a8">
    <w:name w:val="Body Text"/>
    <w:basedOn w:val="a"/>
    <w:pPr>
      <w:spacing w:after="140"/>
    </w:pPr>
  </w:style>
  <w:style w:type="paragraph" w:styleId="a9">
    <w:name w:val="List"/>
    <w:basedOn w:val="a8"/>
    <w:rPr>
      <w:rFonts w:cs="Noto Sans"/>
    </w:rPr>
  </w:style>
  <w:style w:type="paragraph" w:styleId="aa">
    <w:name w:val="caption"/>
    <w:basedOn w:val="a"/>
    <w:uiPriority w:val="35"/>
    <w:semiHidden/>
    <w:unhideWhenUsed/>
    <w:qFormat/>
    <w:rPr>
      <w:b/>
      <w:bCs/>
      <w:color w:val="5B9BD5" w:themeColor="accent1"/>
      <w:sz w:val="18"/>
      <w:szCs w:val="18"/>
    </w:rPr>
  </w:style>
  <w:style w:type="paragraph" w:customStyle="1" w:styleId="11">
    <w:name w:val="Указатель1"/>
    <w:basedOn w:val="a"/>
    <w:qFormat/>
    <w:pPr>
      <w:suppressLineNumbers/>
    </w:pPr>
    <w:rPr>
      <w:rFonts w:cs="Noto Sans"/>
    </w:rPr>
  </w:style>
  <w:style w:type="paragraph" w:customStyle="1" w:styleId="user">
    <w:name w:val="Заголовок (user)"/>
    <w:basedOn w:val="a"/>
    <w:next w:val="a8"/>
    <w:qFormat/>
    <w:pPr>
      <w:keepNext/>
      <w:spacing w:before="240" w:after="120"/>
    </w:pPr>
    <w:rPr>
      <w:rFonts w:ascii="Liberation Sans" w:eastAsia="Tahoma" w:hAnsi="Liberation Sans" w:cs="Noto Sans"/>
      <w:sz w:val="28"/>
      <w:szCs w:val="28"/>
    </w:rPr>
  </w:style>
  <w:style w:type="paragraph" w:customStyle="1" w:styleId="user0">
    <w:name w:val="Указатель (user)"/>
    <w:basedOn w:val="a"/>
    <w:qFormat/>
    <w:pPr>
      <w:suppressLineNumbers/>
    </w:pPr>
    <w:rPr>
      <w:rFonts w:cs="Noto Sans"/>
    </w:rPr>
  </w:style>
  <w:style w:type="paragraph" w:styleId="ab">
    <w:name w:val="Title"/>
    <w:basedOn w:val="a"/>
    <w:uiPriority w:val="10"/>
    <w:qFormat/>
    <w:pPr>
      <w:spacing w:before="300"/>
      <w:contextualSpacing/>
    </w:pPr>
    <w:rPr>
      <w:sz w:val="48"/>
      <w:szCs w:val="48"/>
    </w:rPr>
  </w:style>
  <w:style w:type="paragraph" w:styleId="ac">
    <w:name w:val="Subtitle"/>
    <w:basedOn w:val="a"/>
    <w:uiPriority w:val="11"/>
    <w:qFormat/>
    <w:pPr>
      <w:spacing w:before="200"/>
    </w:pPr>
    <w:rPr>
      <w:sz w:val="24"/>
      <w:szCs w:val="24"/>
    </w:rPr>
  </w:style>
  <w:style w:type="paragraph" w:styleId="20">
    <w:name w:val="Quote"/>
    <w:basedOn w:val="a"/>
    <w:uiPriority w:val="29"/>
    <w:qFormat/>
    <w:pPr>
      <w:ind w:left="720" w:right="720"/>
    </w:pPr>
    <w:rPr>
      <w:i/>
    </w:rPr>
  </w:style>
  <w:style w:type="paragraph" w:styleId="ad">
    <w:name w:val="Intense Quote"/>
    <w:basedOn w:val="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HeaderandFooter">
    <w:name w:val="Header and Footer"/>
    <w:basedOn w:val="a"/>
    <w:qFormat/>
  </w:style>
  <w:style w:type="paragraph" w:styleId="ae">
    <w:name w:val="header"/>
    <w:basedOn w:val="a"/>
    <w:uiPriority w:val="99"/>
    <w:unhideWhenUsed/>
    <w:pPr>
      <w:tabs>
        <w:tab w:val="center" w:pos="7143"/>
        <w:tab w:val="right" w:pos="14287"/>
      </w:tabs>
      <w:spacing w:after="0" w:line="240" w:lineRule="auto"/>
    </w:pPr>
  </w:style>
  <w:style w:type="paragraph" w:styleId="af">
    <w:name w:val="footer"/>
    <w:basedOn w:val="a"/>
    <w:uiPriority w:val="99"/>
    <w:unhideWhenUsed/>
    <w:pPr>
      <w:tabs>
        <w:tab w:val="center" w:pos="7143"/>
        <w:tab w:val="right" w:pos="14287"/>
      </w:tabs>
      <w:spacing w:after="0" w:line="240" w:lineRule="auto"/>
    </w:pPr>
  </w:style>
  <w:style w:type="paragraph" w:styleId="af0">
    <w:name w:val="footnote text"/>
    <w:basedOn w:val="a"/>
    <w:uiPriority w:val="99"/>
    <w:semiHidden/>
    <w:unhideWhenUsed/>
    <w:pPr>
      <w:spacing w:after="40" w:line="240" w:lineRule="auto"/>
    </w:pPr>
    <w:rPr>
      <w:sz w:val="18"/>
    </w:rPr>
  </w:style>
  <w:style w:type="paragraph" w:styleId="af1">
    <w:name w:val="endnote text"/>
    <w:basedOn w:val="a"/>
    <w:uiPriority w:val="99"/>
    <w:semiHidden/>
    <w:unhideWhenUsed/>
    <w:pPr>
      <w:spacing w:after="0" w:line="240" w:lineRule="auto"/>
    </w:pPr>
    <w:rPr>
      <w:sz w:val="20"/>
    </w:rPr>
  </w:style>
  <w:style w:type="paragraph" w:styleId="12">
    <w:name w:val="toc 1"/>
    <w:basedOn w:val="a"/>
    <w:uiPriority w:val="39"/>
    <w:unhideWhenUsed/>
    <w:pPr>
      <w:spacing w:after="57"/>
    </w:pPr>
  </w:style>
  <w:style w:type="paragraph" w:styleId="21">
    <w:name w:val="toc 2"/>
    <w:basedOn w:val="a"/>
    <w:uiPriority w:val="39"/>
    <w:unhideWhenUsed/>
    <w:pPr>
      <w:spacing w:after="57"/>
      <w:ind w:left="283"/>
    </w:pPr>
  </w:style>
  <w:style w:type="paragraph" w:styleId="30">
    <w:name w:val="toc 3"/>
    <w:basedOn w:val="a"/>
    <w:uiPriority w:val="39"/>
    <w:unhideWhenUsed/>
    <w:pPr>
      <w:spacing w:after="57"/>
      <w:ind w:left="567"/>
    </w:pPr>
  </w:style>
  <w:style w:type="paragraph" w:styleId="40">
    <w:name w:val="toc 4"/>
    <w:basedOn w:val="a"/>
    <w:uiPriority w:val="39"/>
    <w:unhideWhenUsed/>
    <w:pPr>
      <w:spacing w:after="57"/>
      <w:ind w:left="850"/>
    </w:pPr>
  </w:style>
  <w:style w:type="paragraph" w:styleId="50">
    <w:name w:val="toc 5"/>
    <w:basedOn w:val="a"/>
    <w:uiPriority w:val="39"/>
    <w:unhideWhenUsed/>
    <w:pPr>
      <w:spacing w:after="57"/>
      <w:ind w:left="1134"/>
    </w:pPr>
  </w:style>
  <w:style w:type="paragraph" w:styleId="60">
    <w:name w:val="toc 6"/>
    <w:basedOn w:val="a"/>
    <w:uiPriority w:val="39"/>
    <w:unhideWhenUsed/>
    <w:pPr>
      <w:spacing w:after="57"/>
      <w:ind w:left="1417"/>
    </w:pPr>
  </w:style>
  <w:style w:type="paragraph" w:styleId="70">
    <w:name w:val="toc 7"/>
    <w:basedOn w:val="a"/>
    <w:uiPriority w:val="39"/>
    <w:unhideWhenUsed/>
    <w:pPr>
      <w:spacing w:after="57"/>
      <w:ind w:left="1701"/>
    </w:pPr>
  </w:style>
  <w:style w:type="paragraph" w:styleId="80">
    <w:name w:val="toc 8"/>
    <w:basedOn w:val="a"/>
    <w:uiPriority w:val="39"/>
    <w:unhideWhenUsed/>
    <w:pPr>
      <w:spacing w:after="57"/>
      <w:ind w:left="1984"/>
    </w:pPr>
  </w:style>
  <w:style w:type="paragraph" w:styleId="90">
    <w:name w:val="toc 9"/>
    <w:basedOn w:val="a"/>
    <w:uiPriority w:val="39"/>
    <w:unhideWhenUsed/>
    <w:pPr>
      <w:spacing w:after="57"/>
      <w:ind w:left="2268"/>
    </w:pPr>
  </w:style>
  <w:style w:type="paragraph" w:styleId="af2">
    <w:name w:val="index heading"/>
    <w:basedOn w:val="10"/>
  </w:style>
  <w:style w:type="paragraph" w:styleId="af3">
    <w:name w:val="TOC Heading"/>
    <w:uiPriority w:val="39"/>
    <w:unhideWhenUsed/>
    <w:qFormat/>
    <w:pPr>
      <w:spacing w:after="200" w:line="276" w:lineRule="auto"/>
    </w:pPr>
  </w:style>
  <w:style w:type="paragraph" w:styleId="af4">
    <w:name w:val="table of figures"/>
    <w:basedOn w:val="a"/>
    <w:uiPriority w:val="99"/>
    <w:unhideWhenUsed/>
    <w:pPr>
      <w:spacing w:after="0"/>
    </w:pPr>
  </w:style>
  <w:style w:type="paragraph" w:styleId="af5">
    <w:name w:val="No Spacing"/>
    <w:basedOn w:val="a"/>
    <w:uiPriority w:val="1"/>
    <w:qFormat/>
    <w:pPr>
      <w:spacing w:after="0" w:line="240" w:lineRule="auto"/>
    </w:pPr>
  </w:style>
  <w:style w:type="paragraph" w:styleId="af6">
    <w:name w:val="List Paragraph"/>
    <w:basedOn w:val="a"/>
    <w:uiPriority w:val="34"/>
    <w:qFormat/>
    <w:pPr>
      <w:ind w:left="720"/>
      <w:contextualSpacing/>
    </w:pPr>
  </w:style>
  <w:style w:type="numbering" w:customStyle="1" w:styleId="af7">
    <w:name w:val="Без списка"/>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New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6350" cap="flat" cmpd="sng" algn="ctr"/>
        <a:ln w="12700" cap="flat" cmpd="sng" algn="ctr"/>
        <a:ln w="19050" cap="flat" cmpd="sng" algn="ctr"/>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a:path>
          <a:tileRect/>
        </a:gradFill>
        <a:gradFill>
          <a:gsLst>
            <a:gs pos="0">
              <a:schemeClr val="phClr">
                <a:tint val="80000"/>
              </a:schemeClr>
            </a:gs>
            <a:gs pos="100000">
              <a:schemeClr val="phClr">
                <a:shade val="30000"/>
              </a:schemeClr>
            </a:gs>
          </a:gsLst>
          <a:path path="circle">
            <a:fillToRect/>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Pages>
  <Words>1278</Words>
  <Characters>7291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Wen Lee</cp:lastModifiedBy>
  <cp:revision>12</cp:revision>
  <dcterms:created xsi:type="dcterms:W3CDTF">2025-05-13T08:29:00Z</dcterms:created>
  <dcterms:modified xsi:type="dcterms:W3CDTF">2025-05-13T11:40:00Z</dcterms:modified>
  <dc:language>ru-RU</dc:language>
</cp:coreProperties>
</file>